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E1" w:rsidRDefault="00353EE1" w:rsidP="00353EE1">
      <w:pPr>
        <w:spacing w:after="0" w:line="240" w:lineRule="auto"/>
        <w:jc w:val="center"/>
        <w:rPr>
          <w:rFonts w:ascii="Bookman Old Style" w:hAnsi="Bookman Old Style" w:cs="Arial"/>
          <w:b/>
          <w:sz w:val="24"/>
          <w:szCs w:val="24"/>
        </w:rPr>
      </w:pPr>
      <w:r>
        <w:rPr>
          <w:rFonts w:ascii="Bookman Old Style" w:hAnsi="Bookman Old Style" w:cs="Arial"/>
          <w:b/>
          <w:sz w:val="24"/>
          <w:szCs w:val="24"/>
        </w:rPr>
        <w:t>MESA TEMÁ</w:t>
      </w:r>
      <w:r w:rsidRPr="00353EE1">
        <w:rPr>
          <w:rFonts w:ascii="Bookman Old Style" w:hAnsi="Bookman Old Style" w:cs="Arial"/>
          <w:b/>
          <w:sz w:val="24"/>
          <w:szCs w:val="24"/>
        </w:rPr>
        <w:t xml:space="preserve">TICA 2: </w:t>
      </w:r>
      <w:r w:rsidRPr="00353EE1">
        <w:rPr>
          <w:rFonts w:ascii="Bookman Old Style" w:hAnsi="Bookman Old Style" w:cs="Arial"/>
          <w:b/>
          <w:sz w:val="24"/>
          <w:szCs w:val="24"/>
        </w:rPr>
        <w:t>Competencias y coordinación</w:t>
      </w:r>
    </w:p>
    <w:p w:rsidR="00353EE1" w:rsidRPr="00353EE1" w:rsidRDefault="00353EE1" w:rsidP="00353EE1">
      <w:pPr>
        <w:spacing w:after="0" w:line="240" w:lineRule="auto"/>
        <w:jc w:val="center"/>
        <w:rPr>
          <w:rFonts w:ascii="Bookman Old Style" w:hAnsi="Bookman Old Style" w:cs="Arial"/>
          <w:sz w:val="24"/>
          <w:szCs w:val="24"/>
        </w:rPr>
      </w:pPr>
      <w:r w:rsidRPr="00353EE1">
        <w:rPr>
          <w:rFonts w:ascii="Bookman Old Style" w:hAnsi="Bookman Old Style" w:cs="Arial"/>
          <w:sz w:val="24"/>
          <w:szCs w:val="24"/>
        </w:rPr>
        <w:t>Cámara de Diputados</w:t>
      </w:r>
    </w:p>
    <w:p w:rsidR="00353EE1" w:rsidRPr="00353EE1" w:rsidRDefault="00353EE1" w:rsidP="00353EE1">
      <w:pPr>
        <w:spacing w:after="0" w:line="240" w:lineRule="auto"/>
        <w:jc w:val="center"/>
        <w:rPr>
          <w:rFonts w:ascii="Bookman Old Style" w:hAnsi="Bookman Old Style" w:cs="Arial"/>
          <w:sz w:val="24"/>
          <w:szCs w:val="24"/>
        </w:rPr>
      </w:pPr>
      <w:r w:rsidRPr="00353EE1">
        <w:rPr>
          <w:rFonts w:ascii="Bookman Old Style" w:hAnsi="Bookman Old Style" w:cs="Arial"/>
          <w:sz w:val="24"/>
          <w:szCs w:val="24"/>
        </w:rPr>
        <w:t xml:space="preserve">26 </w:t>
      </w:r>
      <w:r w:rsidRPr="00353EE1">
        <w:rPr>
          <w:rFonts w:ascii="Bookman Old Style" w:hAnsi="Bookman Old Style" w:cs="Arial"/>
          <w:sz w:val="24"/>
          <w:szCs w:val="24"/>
        </w:rPr>
        <w:t xml:space="preserve">de junio de </w:t>
      </w:r>
      <w:r w:rsidRPr="00353EE1">
        <w:rPr>
          <w:rFonts w:ascii="Bookman Old Style" w:hAnsi="Bookman Old Style" w:cs="Arial"/>
          <w:sz w:val="24"/>
          <w:szCs w:val="24"/>
        </w:rPr>
        <w:t>2019</w:t>
      </w:r>
    </w:p>
    <w:p w:rsidR="00353EE1" w:rsidRPr="00353EE1" w:rsidRDefault="00353EE1" w:rsidP="00353EE1">
      <w:pPr>
        <w:spacing w:after="0" w:line="240" w:lineRule="auto"/>
        <w:jc w:val="center"/>
        <w:rPr>
          <w:rFonts w:ascii="Bookman Old Style" w:hAnsi="Bookman Old Style" w:cs="Arial"/>
          <w:b/>
          <w:sz w:val="24"/>
          <w:szCs w:val="24"/>
        </w:rPr>
      </w:pP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sz w:val="24"/>
          <w:szCs w:val="24"/>
        </w:rPr>
        <w:t>En primer lugar, da un mensaje de bienvenida la diputada Nancy Reséndiz y posteriormente el Senador Cristóbal Arias Solís.</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sz w:val="24"/>
          <w:szCs w:val="24"/>
        </w:rPr>
        <w:t xml:space="preserve">La diputada </w:t>
      </w:r>
      <w:proofErr w:type="spellStart"/>
      <w:r w:rsidRPr="00353EE1">
        <w:rPr>
          <w:rFonts w:ascii="Bookman Old Style" w:hAnsi="Bookman Old Style" w:cs="Arial"/>
          <w:sz w:val="24"/>
          <w:szCs w:val="24"/>
        </w:rPr>
        <w:t>Liduvina</w:t>
      </w:r>
      <w:proofErr w:type="spellEnd"/>
      <w:r w:rsidRPr="00353EE1">
        <w:rPr>
          <w:rFonts w:ascii="Bookman Old Style" w:hAnsi="Bookman Old Style" w:cs="Arial"/>
          <w:sz w:val="24"/>
          <w:szCs w:val="24"/>
        </w:rPr>
        <w:t xml:space="preserve"> Sandoval Mendoza hace una presentación de los objetivos de la mesa y el mecanismo de la misma.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sz w:val="24"/>
          <w:szCs w:val="24"/>
        </w:rPr>
        <w:t xml:space="preserve">Interviene el Senador Juan José Jiménez Yáñez. Habla sobre las inundaciones y estadísticas sobre los desastres naturales. Propone que Protección Civil tenga atribuciones para el otorgamiento de permisos y en la toma de determinaciones para actuar en forma preventiva y no nada más en forma reactiva.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sz w:val="24"/>
          <w:szCs w:val="24"/>
        </w:rPr>
        <w:t>1era Ronda:</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Maestra Gloria Vázquez Rangel</w:t>
      </w:r>
      <w:r w:rsidRPr="00353EE1">
        <w:rPr>
          <w:rFonts w:ascii="Bookman Old Style" w:hAnsi="Bookman Old Style" w:cs="Arial"/>
          <w:sz w:val="24"/>
          <w:szCs w:val="24"/>
        </w:rPr>
        <w:t xml:space="preserve">: Darle una mayor relevancia a las áreas de gestión de riesgos y protección civil. Se debe fortalecer a los municipios en presupuesto, capacitación y herramientas. Apropiándose del territorio. Los protocolos de actuación sean conocidos, homologados y que los marcos regulatorios sean conocidos.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Daniel Rodríguez: </w:t>
      </w:r>
      <w:r w:rsidRPr="00353EE1">
        <w:rPr>
          <w:rFonts w:ascii="Bookman Old Style" w:hAnsi="Bookman Old Style" w:cs="Arial"/>
          <w:sz w:val="24"/>
          <w:szCs w:val="24"/>
        </w:rPr>
        <w:t xml:space="preserve">Revisar los artículos 115 y 116 Constitucional para determinar competencias y darle un enfoque preventivo.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Sandra Camacho: </w:t>
      </w:r>
      <w:proofErr w:type="spellStart"/>
      <w:r w:rsidRPr="00353EE1">
        <w:rPr>
          <w:rFonts w:ascii="Bookman Old Style" w:hAnsi="Bookman Old Style" w:cs="Arial"/>
          <w:sz w:val="24"/>
          <w:szCs w:val="24"/>
        </w:rPr>
        <w:t>Fonden</w:t>
      </w:r>
      <w:proofErr w:type="spellEnd"/>
      <w:r w:rsidRPr="00353EE1">
        <w:rPr>
          <w:rFonts w:ascii="Bookman Old Style" w:hAnsi="Bookman Old Style" w:cs="Arial"/>
          <w:sz w:val="24"/>
          <w:szCs w:val="24"/>
        </w:rPr>
        <w:t xml:space="preserve"> infraestructura. Medidas de planeación de acuerdo al Marco de Sendai y la agenda 20-30. Artículo 34 Ley de Presupuesto fiscal y financiero.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Mayra Susana Calderón </w:t>
      </w:r>
      <w:proofErr w:type="spellStart"/>
      <w:r w:rsidRPr="00353EE1">
        <w:rPr>
          <w:rFonts w:ascii="Bookman Old Style" w:hAnsi="Bookman Old Style" w:cs="Arial"/>
          <w:b/>
          <w:sz w:val="24"/>
          <w:szCs w:val="24"/>
        </w:rPr>
        <w:t>Malvaez</w:t>
      </w:r>
      <w:proofErr w:type="spellEnd"/>
      <w:r w:rsidRPr="00353EE1">
        <w:rPr>
          <w:rFonts w:ascii="Bookman Old Style" w:hAnsi="Bookman Old Style" w:cs="Arial"/>
          <w:b/>
          <w:sz w:val="24"/>
          <w:szCs w:val="24"/>
        </w:rPr>
        <w:t>:</w:t>
      </w:r>
      <w:r w:rsidRPr="00353EE1">
        <w:rPr>
          <w:rFonts w:ascii="Bookman Old Style" w:hAnsi="Bookman Old Style" w:cs="Arial"/>
          <w:sz w:val="24"/>
          <w:szCs w:val="24"/>
        </w:rPr>
        <w:t xml:space="preserve"> IMSS. Artículo 39 y 40. Otorgarles facultades a las unidades internas de Protección Civil. Artículos 75 al 79 del Reglamento.</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Víctor Hugo García.</w:t>
      </w:r>
      <w:r w:rsidRPr="00353EE1">
        <w:rPr>
          <w:rFonts w:ascii="Bookman Old Style" w:hAnsi="Bookman Old Style" w:cs="Arial"/>
          <w:sz w:val="24"/>
          <w:szCs w:val="24"/>
        </w:rPr>
        <w:t xml:space="preserve">  Fortalecer a las Unidades Internas. Artículo 11. Asesor. Capacitación. 80-91 Reglamento. Plataforma digital inexistente. Que haya un registro nacional y único para asesores e incluir al evaluador para supervisar a los asesores y a las unidades internas. Deben existir dos reglamentos, uno para la gestión de riesgos y otro de vigilancia en el cumplimiento de la norma.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Dra. </w:t>
      </w:r>
      <w:proofErr w:type="spellStart"/>
      <w:r w:rsidRPr="00353EE1">
        <w:rPr>
          <w:rFonts w:ascii="Bookman Old Style" w:hAnsi="Bookman Old Style" w:cs="Arial"/>
          <w:b/>
          <w:sz w:val="24"/>
          <w:szCs w:val="24"/>
        </w:rPr>
        <w:t>Irazema</w:t>
      </w:r>
      <w:proofErr w:type="spellEnd"/>
      <w:r w:rsidRPr="00353EE1">
        <w:rPr>
          <w:rFonts w:ascii="Bookman Old Style" w:hAnsi="Bookman Old Style" w:cs="Arial"/>
          <w:b/>
          <w:sz w:val="24"/>
          <w:szCs w:val="24"/>
        </w:rPr>
        <w:t xml:space="preserve"> Alcántara</w:t>
      </w:r>
      <w:r w:rsidRPr="00353EE1">
        <w:rPr>
          <w:rFonts w:ascii="Bookman Old Style" w:hAnsi="Bookman Old Style" w:cs="Arial"/>
          <w:sz w:val="24"/>
          <w:szCs w:val="24"/>
        </w:rPr>
        <w:t>: Debe haber dos áreas o autoridades, una para la protección civil y la otra de la gestión integral de riesgos de desastres (operación transversal) ya que son muy distintos.</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lastRenderedPageBreak/>
        <w:t xml:space="preserve">Jesús </w:t>
      </w:r>
      <w:proofErr w:type="spellStart"/>
      <w:r w:rsidRPr="00353EE1">
        <w:rPr>
          <w:rFonts w:ascii="Bookman Old Style" w:hAnsi="Bookman Old Style" w:cs="Arial"/>
          <w:b/>
          <w:sz w:val="24"/>
          <w:szCs w:val="24"/>
        </w:rPr>
        <w:t>Asención</w:t>
      </w:r>
      <w:proofErr w:type="spellEnd"/>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Que cada ente responsable cumpla con sus responsabilidades. Cambio de usos de suelo irresponsables.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Quetzalcóatl: </w:t>
      </w:r>
      <w:r w:rsidRPr="00353EE1">
        <w:rPr>
          <w:rFonts w:ascii="Bookman Old Style" w:hAnsi="Bookman Old Style" w:cs="Arial"/>
          <w:sz w:val="24"/>
          <w:szCs w:val="24"/>
        </w:rPr>
        <w:t xml:space="preserve">Que las normas o </w:t>
      </w:r>
      <w:proofErr w:type="spellStart"/>
      <w:r w:rsidRPr="00353EE1">
        <w:rPr>
          <w:rFonts w:ascii="Bookman Old Style" w:hAnsi="Bookman Old Style" w:cs="Arial"/>
          <w:sz w:val="24"/>
          <w:szCs w:val="24"/>
        </w:rPr>
        <w:t>Isos</w:t>
      </w:r>
      <w:proofErr w:type="spellEnd"/>
      <w:r w:rsidRPr="00353EE1">
        <w:rPr>
          <w:rFonts w:ascii="Bookman Old Style" w:hAnsi="Bookman Old Style" w:cs="Arial"/>
          <w:sz w:val="24"/>
          <w:szCs w:val="24"/>
        </w:rPr>
        <w:t xml:space="preserve"> tengan una rama de la gestión de riesgos y promover una c</w:t>
      </w:r>
      <w:bookmarkStart w:id="0" w:name="_GoBack"/>
      <w:bookmarkEnd w:id="0"/>
      <w:r w:rsidRPr="00353EE1">
        <w:rPr>
          <w:rFonts w:ascii="Bookman Old Style" w:hAnsi="Bookman Old Style" w:cs="Arial"/>
          <w:sz w:val="24"/>
          <w:szCs w:val="24"/>
        </w:rPr>
        <w:t>ultura de prevención y supervisión.</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Lucrecia Almaraz. </w:t>
      </w:r>
      <w:r w:rsidRPr="00353EE1">
        <w:rPr>
          <w:rFonts w:ascii="Bookman Old Style" w:hAnsi="Bookman Old Style" w:cs="Arial"/>
          <w:sz w:val="24"/>
          <w:szCs w:val="24"/>
        </w:rPr>
        <w:t xml:space="preserve">Que en el Plan Nacional de Desarrollo se aborde la gestión integral de riesgos. Crear esquemas de presupuestos participativos. Se debe actualizar el Manual del Sistema Nacional de Protección Civil.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Omar Cortes: </w:t>
      </w:r>
      <w:r w:rsidRPr="00353EE1">
        <w:rPr>
          <w:rFonts w:ascii="Bookman Old Style" w:hAnsi="Bookman Old Style" w:cs="Arial"/>
          <w:sz w:val="24"/>
          <w:szCs w:val="24"/>
        </w:rPr>
        <w:t>Integrar a los ciudadanos</w:t>
      </w:r>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en la materia.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Thalía </w:t>
      </w:r>
      <w:proofErr w:type="spellStart"/>
      <w:r w:rsidRPr="00353EE1">
        <w:rPr>
          <w:rFonts w:ascii="Bookman Old Style" w:hAnsi="Bookman Old Style" w:cs="Arial"/>
          <w:b/>
          <w:sz w:val="24"/>
          <w:szCs w:val="24"/>
        </w:rPr>
        <w:t>Alarcon</w:t>
      </w:r>
      <w:proofErr w:type="spellEnd"/>
      <w:r w:rsidRPr="00353EE1">
        <w:rPr>
          <w:rFonts w:ascii="Bookman Old Style" w:hAnsi="Bookman Old Style" w:cs="Arial"/>
          <w:b/>
          <w:sz w:val="24"/>
          <w:szCs w:val="24"/>
        </w:rPr>
        <w:t xml:space="preserve"> Reyes:</w:t>
      </w:r>
      <w:r w:rsidRPr="00353EE1">
        <w:rPr>
          <w:rFonts w:ascii="Bookman Old Style" w:hAnsi="Bookman Old Style" w:cs="Arial"/>
          <w:sz w:val="24"/>
          <w:szCs w:val="24"/>
        </w:rPr>
        <w:t xml:space="preserve"> Alertas sísmicas homologarlas entre las privadas y oficiales.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Dra. </w:t>
      </w:r>
      <w:proofErr w:type="spellStart"/>
      <w:r w:rsidRPr="00353EE1">
        <w:rPr>
          <w:rFonts w:ascii="Bookman Old Style" w:hAnsi="Bookman Old Style" w:cs="Arial"/>
          <w:b/>
          <w:sz w:val="24"/>
          <w:szCs w:val="24"/>
        </w:rPr>
        <w:t>Nasheli</w:t>
      </w:r>
      <w:proofErr w:type="spellEnd"/>
      <w:r w:rsidRPr="00353EE1">
        <w:rPr>
          <w:rFonts w:ascii="Bookman Old Style" w:hAnsi="Bookman Old Style" w:cs="Arial"/>
          <w:b/>
          <w:sz w:val="24"/>
          <w:szCs w:val="24"/>
        </w:rPr>
        <w:t xml:space="preserve"> Ruiz: </w:t>
      </w:r>
      <w:r w:rsidRPr="00353EE1">
        <w:rPr>
          <w:rFonts w:ascii="Bookman Old Style" w:hAnsi="Bookman Old Style" w:cs="Arial"/>
          <w:sz w:val="24"/>
          <w:szCs w:val="24"/>
        </w:rPr>
        <w:t xml:space="preserve">Hacer la </w:t>
      </w:r>
      <w:proofErr w:type="spellStart"/>
      <w:r w:rsidRPr="00353EE1">
        <w:rPr>
          <w:rFonts w:ascii="Bookman Old Style" w:hAnsi="Bookman Old Style" w:cs="Arial"/>
          <w:sz w:val="24"/>
          <w:szCs w:val="24"/>
        </w:rPr>
        <w:t>transversalización</w:t>
      </w:r>
      <w:proofErr w:type="spellEnd"/>
      <w:r w:rsidRPr="00353EE1">
        <w:rPr>
          <w:rFonts w:ascii="Bookman Old Style" w:hAnsi="Bookman Old Style" w:cs="Arial"/>
          <w:sz w:val="24"/>
          <w:szCs w:val="24"/>
        </w:rPr>
        <w:t xml:space="preserve"> financiera y normativa homologación de términos). En la agenda municipal:  </w:t>
      </w:r>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4 mecanismos para el financiamiento a los Municipios: Fideicomisos; Ramo 33 etiquetado; </w:t>
      </w:r>
      <w:proofErr w:type="spellStart"/>
      <w:r w:rsidRPr="00353EE1">
        <w:rPr>
          <w:rFonts w:ascii="Bookman Old Style" w:hAnsi="Bookman Old Style" w:cs="Arial"/>
          <w:sz w:val="24"/>
          <w:szCs w:val="24"/>
        </w:rPr>
        <w:t>Fopreden</w:t>
      </w:r>
      <w:proofErr w:type="spellEnd"/>
      <w:r w:rsidRPr="00353EE1">
        <w:rPr>
          <w:rFonts w:ascii="Bookman Old Style" w:hAnsi="Bookman Old Style" w:cs="Arial"/>
          <w:sz w:val="24"/>
          <w:szCs w:val="24"/>
        </w:rPr>
        <w:t xml:space="preserve">; Recursos de libre disposición. </w:t>
      </w:r>
    </w:p>
    <w:p w:rsidR="00353EE1" w:rsidRPr="00353EE1" w:rsidRDefault="00353EE1" w:rsidP="00353EE1">
      <w:pPr>
        <w:jc w:val="both"/>
        <w:rPr>
          <w:rFonts w:ascii="Bookman Old Style" w:hAnsi="Bookman Old Style" w:cs="Arial"/>
          <w:sz w:val="24"/>
          <w:szCs w:val="24"/>
        </w:rPr>
      </w:pPr>
      <w:proofErr w:type="spellStart"/>
      <w:r w:rsidRPr="00353EE1">
        <w:rPr>
          <w:rFonts w:ascii="Bookman Old Style" w:hAnsi="Bookman Old Style" w:cs="Arial"/>
          <w:b/>
          <w:sz w:val="24"/>
          <w:szCs w:val="24"/>
        </w:rPr>
        <w:t>Dip</w:t>
      </w:r>
      <w:proofErr w:type="spellEnd"/>
      <w:r w:rsidRPr="00353EE1">
        <w:rPr>
          <w:rFonts w:ascii="Bookman Old Style" w:hAnsi="Bookman Old Style" w:cs="Arial"/>
          <w:b/>
          <w:sz w:val="24"/>
          <w:szCs w:val="24"/>
        </w:rPr>
        <w:t>. Enrique Farrera</w:t>
      </w:r>
      <w:r w:rsidRPr="00353EE1">
        <w:rPr>
          <w:rFonts w:ascii="Bookman Old Style" w:hAnsi="Bookman Old Style" w:cs="Arial"/>
          <w:sz w:val="24"/>
          <w:szCs w:val="24"/>
        </w:rPr>
        <w:t xml:space="preserve"> (Chiapas) Desastre natural y luego el desastre social. ¿Quién interviene en la reconstrucción? ¿Hasta dónde llega la Protección Civil? Padrón de damnificados, homologarlos. Transparencia y rendición de cuentas (señala la </w:t>
      </w:r>
      <w:proofErr w:type="spellStart"/>
      <w:r w:rsidRPr="00353EE1">
        <w:rPr>
          <w:rFonts w:ascii="Bookman Old Style" w:hAnsi="Bookman Old Style" w:cs="Arial"/>
          <w:sz w:val="24"/>
          <w:szCs w:val="24"/>
        </w:rPr>
        <w:t>Dip</w:t>
      </w:r>
      <w:proofErr w:type="spellEnd"/>
      <w:r w:rsidRPr="00353EE1">
        <w:rPr>
          <w:rFonts w:ascii="Bookman Old Style" w:hAnsi="Bookman Old Style" w:cs="Arial"/>
          <w:sz w:val="24"/>
          <w:szCs w:val="24"/>
        </w:rPr>
        <w:t xml:space="preserve">. </w:t>
      </w:r>
      <w:proofErr w:type="spellStart"/>
      <w:r w:rsidRPr="00353EE1">
        <w:rPr>
          <w:rFonts w:ascii="Bookman Old Style" w:hAnsi="Bookman Old Style" w:cs="Arial"/>
          <w:sz w:val="24"/>
          <w:szCs w:val="24"/>
        </w:rPr>
        <w:t>Liduvina</w:t>
      </w:r>
      <w:proofErr w:type="spellEnd"/>
      <w:r w:rsidRPr="00353EE1">
        <w:rPr>
          <w:rFonts w:ascii="Bookman Old Style" w:hAnsi="Bookman Old Style" w:cs="Arial"/>
          <w:sz w:val="24"/>
          <w:szCs w:val="24"/>
        </w:rPr>
        <w:t xml:space="preserve"> Sandoval).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Alejandra Maldonado: </w:t>
      </w:r>
      <w:r w:rsidRPr="00353EE1">
        <w:rPr>
          <w:rFonts w:ascii="Bookman Old Style" w:hAnsi="Bookman Old Style" w:cs="Arial"/>
          <w:sz w:val="24"/>
          <w:szCs w:val="24"/>
        </w:rPr>
        <w:t xml:space="preserve">Es importante asegurar el servicio profesional de carrera en el sistema de toma de decisiones en la gestión integral de riesgos. Analizar el Código Penal con relación a la gestión integral de riegos.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Capitán Ricardo Cano: </w:t>
      </w:r>
      <w:r w:rsidRPr="00353EE1">
        <w:rPr>
          <w:rFonts w:ascii="Bookman Old Style" w:hAnsi="Bookman Old Style" w:cs="Arial"/>
          <w:sz w:val="24"/>
          <w:szCs w:val="24"/>
        </w:rPr>
        <w:t xml:space="preserve">Se debe cumplir con la ley. Otorgar presupuesto para la ayuda humanitaria (y reconstrucción) que hace el Ejército y la Marina. Promover el servicio civil de carrera en los tres niveles. Necesidad de normar la ayuda humanitaria en las emergencias. </w:t>
      </w:r>
    </w:p>
    <w:p w:rsidR="00353EE1" w:rsidRPr="00353EE1" w:rsidRDefault="00353EE1" w:rsidP="00353EE1">
      <w:pPr>
        <w:jc w:val="both"/>
        <w:rPr>
          <w:rFonts w:ascii="Bookman Old Style" w:hAnsi="Bookman Old Style" w:cs="Arial"/>
          <w:sz w:val="24"/>
          <w:szCs w:val="24"/>
        </w:rPr>
      </w:pPr>
      <w:proofErr w:type="spellStart"/>
      <w:r w:rsidRPr="00353EE1">
        <w:rPr>
          <w:rFonts w:ascii="Bookman Old Style" w:hAnsi="Bookman Old Style" w:cs="Arial"/>
          <w:sz w:val="24"/>
          <w:szCs w:val="24"/>
        </w:rPr>
        <w:t>I</w:t>
      </w:r>
      <w:r w:rsidRPr="00353EE1">
        <w:rPr>
          <w:rFonts w:ascii="Bookman Old Style" w:hAnsi="Bookman Old Style" w:cs="Arial"/>
          <w:b/>
          <w:sz w:val="24"/>
          <w:szCs w:val="24"/>
        </w:rPr>
        <w:t>razema</w:t>
      </w:r>
      <w:proofErr w:type="spellEnd"/>
      <w:r w:rsidRPr="00353EE1">
        <w:rPr>
          <w:rFonts w:ascii="Bookman Old Style" w:hAnsi="Bookman Old Style" w:cs="Arial"/>
          <w:b/>
          <w:sz w:val="24"/>
          <w:szCs w:val="24"/>
        </w:rPr>
        <w:t xml:space="preserve"> </w:t>
      </w:r>
      <w:proofErr w:type="spellStart"/>
      <w:r w:rsidRPr="00353EE1">
        <w:rPr>
          <w:rFonts w:ascii="Bookman Old Style" w:hAnsi="Bookman Old Style" w:cs="Arial"/>
          <w:b/>
          <w:sz w:val="24"/>
          <w:szCs w:val="24"/>
        </w:rPr>
        <w:t>Alcantara</w:t>
      </w:r>
      <w:proofErr w:type="spellEnd"/>
      <w:r w:rsidRPr="00353EE1">
        <w:rPr>
          <w:rFonts w:ascii="Bookman Old Style" w:hAnsi="Bookman Old Style" w:cs="Arial"/>
          <w:b/>
          <w:sz w:val="24"/>
          <w:szCs w:val="24"/>
        </w:rPr>
        <w:t>.</w:t>
      </w:r>
      <w:r w:rsidRPr="00353EE1">
        <w:rPr>
          <w:rFonts w:ascii="Bookman Old Style" w:hAnsi="Bookman Old Style" w:cs="Arial"/>
          <w:sz w:val="24"/>
          <w:szCs w:val="24"/>
        </w:rPr>
        <w:t xml:space="preserve"> No está de acuerdo en la homologación de alertas y se debe analizar la pertinencia de las privadas. Debe existir un sistema de alerta </w:t>
      </w:r>
      <w:proofErr w:type="gramStart"/>
      <w:r w:rsidRPr="00353EE1">
        <w:rPr>
          <w:rFonts w:ascii="Bookman Old Style" w:hAnsi="Bookman Old Style" w:cs="Arial"/>
          <w:sz w:val="24"/>
          <w:szCs w:val="24"/>
        </w:rPr>
        <w:t>único y clara</w:t>
      </w:r>
      <w:proofErr w:type="gramEnd"/>
      <w:r w:rsidRPr="00353EE1">
        <w:rPr>
          <w:rFonts w:ascii="Bookman Old Style" w:hAnsi="Bookman Old Style" w:cs="Arial"/>
          <w:sz w:val="24"/>
          <w:szCs w:val="24"/>
        </w:rPr>
        <w:t xml:space="preserve"> para la población. Importancia del servicio de civil de carrera. Se necesita gente preparada.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Jesús </w:t>
      </w:r>
      <w:proofErr w:type="spellStart"/>
      <w:r w:rsidRPr="00353EE1">
        <w:rPr>
          <w:rFonts w:ascii="Bookman Old Style" w:hAnsi="Bookman Old Style" w:cs="Arial"/>
          <w:b/>
          <w:sz w:val="24"/>
          <w:szCs w:val="24"/>
        </w:rPr>
        <w:t>Asención</w:t>
      </w:r>
      <w:proofErr w:type="spellEnd"/>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Ordenamiento territorial vincular a la agenda 20-30. Evaluar las capacitaciones. </w:t>
      </w:r>
    </w:p>
    <w:p w:rsidR="00353EE1" w:rsidRPr="00353EE1" w:rsidRDefault="00353EE1" w:rsidP="00353EE1">
      <w:pPr>
        <w:jc w:val="both"/>
        <w:rPr>
          <w:rFonts w:ascii="Bookman Old Style" w:hAnsi="Bookman Old Style" w:cs="Arial"/>
          <w:b/>
          <w:sz w:val="24"/>
          <w:szCs w:val="24"/>
        </w:rPr>
      </w:pPr>
      <w:r w:rsidRPr="00353EE1">
        <w:rPr>
          <w:rFonts w:ascii="Bookman Old Style" w:hAnsi="Bookman Old Style" w:cs="Arial"/>
          <w:b/>
          <w:sz w:val="24"/>
          <w:szCs w:val="24"/>
        </w:rPr>
        <w:t xml:space="preserve">Víctor Hugo García López. </w:t>
      </w:r>
      <w:r w:rsidRPr="00353EE1">
        <w:rPr>
          <w:rFonts w:ascii="Bookman Old Style" w:hAnsi="Bookman Old Style" w:cs="Arial"/>
          <w:sz w:val="24"/>
          <w:szCs w:val="24"/>
        </w:rPr>
        <w:t>Avanzar y garantizar la profesionalización de autoridades en la materia y asesores y consultores privados. Analizar el programa de jóvenes construyendo el futuro en protección civil.</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lastRenderedPageBreak/>
        <w:t xml:space="preserve">Quetzalcóatl: </w:t>
      </w:r>
      <w:r w:rsidRPr="00353EE1">
        <w:rPr>
          <w:rFonts w:ascii="Bookman Old Style" w:hAnsi="Bookman Old Style" w:cs="Arial"/>
          <w:sz w:val="24"/>
          <w:szCs w:val="24"/>
        </w:rPr>
        <w:t xml:space="preserve">Se debe contar con una guía nacional para la elaboración de programas de protección civil. Cero desastres.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Daniel Rodríguez: </w:t>
      </w:r>
      <w:r w:rsidRPr="00353EE1">
        <w:rPr>
          <w:rFonts w:ascii="Bookman Old Style" w:hAnsi="Bookman Old Style" w:cs="Arial"/>
          <w:sz w:val="24"/>
          <w:szCs w:val="24"/>
        </w:rPr>
        <w:t xml:space="preserve">La Gestión Integral de Riesgos de Desastres también implica operación y la protección civil también debe tener planeación. Revisar los esquemas de convenios de colaboración. Enfoque a los derechos humanos, Seguridad Humana. Revisar el marco constitucional.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Gloria Vázquez:</w:t>
      </w:r>
      <w:r w:rsidRPr="00353EE1">
        <w:rPr>
          <w:rFonts w:ascii="Bookman Old Style" w:hAnsi="Bookman Old Style" w:cs="Arial"/>
          <w:sz w:val="24"/>
          <w:szCs w:val="24"/>
        </w:rPr>
        <w:t xml:space="preserve"> Que haya consejos asesores científicos. Sistemas de alertas deben estar en manos del gobierno. Atlas de riesgos vinculados con los ordenamientos territoriales. Servicio profesional de carrera debe tener recursos y apostar a la capacitación.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Víctor Hugo Juárez: </w:t>
      </w:r>
      <w:r w:rsidRPr="00353EE1">
        <w:rPr>
          <w:rFonts w:ascii="Bookman Old Style" w:hAnsi="Bookman Old Style" w:cs="Arial"/>
          <w:sz w:val="24"/>
          <w:szCs w:val="24"/>
        </w:rPr>
        <w:t xml:space="preserve">Establecer en un transitorio la elaboración de la norma oficial de la </w:t>
      </w:r>
      <w:proofErr w:type="spellStart"/>
      <w:r w:rsidRPr="00353EE1">
        <w:rPr>
          <w:rFonts w:ascii="Bookman Old Style" w:hAnsi="Bookman Old Style" w:cs="Arial"/>
          <w:sz w:val="24"/>
          <w:szCs w:val="24"/>
        </w:rPr>
        <w:t>Cenapred</w:t>
      </w:r>
      <w:proofErr w:type="spellEnd"/>
      <w:r w:rsidRPr="00353EE1">
        <w:rPr>
          <w:rFonts w:ascii="Bookman Old Style" w:hAnsi="Bookman Old Style" w:cs="Arial"/>
          <w:sz w:val="24"/>
          <w:szCs w:val="24"/>
        </w:rPr>
        <w:t xml:space="preserve"> para regular a los terceros autorizados y sus certificaciones. Incluir un capítulo sobre el derrame de hidrocarburos.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Dra. Thalía Reyes</w:t>
      </w:r>
      <w:r w:rsidRPr="00353EE1">
        <w:rPr>
          <w:rFonts w:ascii="Bookman Old Style" w:hAnsi="Bookman Old Style" w:cs="Arial"/>
          <w:sz w:val="24"/>
          <w:szCs w:val="24"/>
        </w:rPr>
        <w:t xml:space="preserve">: </w:t>
      </w:r>
      <w:proofErr w:type="spellStart"/>
      <w:r w:rsidRPr="00353EE1">
        <w:rPr>
          <w:rFonts w:ascii="Bookman Old Style" w:hAnsi="Bookman Old Style" w:cs="Arial"/>
          <w:sz w:val="24"/>
          <w:szCs w:val="24"/>
        </w:rPr>
        <w:t>Skyalert</w:t>
      </w:r>
      <w:proofErr w:type="spellEnd"/>
      <w:r w:rsidRPr="00353EE1">
        <w:rPr>
          <w:rFonts w:ascii="Bookman Old Style" w:hAnsi="Bookman Old Style" w:cs="Arial"/>
          <w:sz w:val="24"/>
          <w:szCs w:val="24"/>
        </w:rPr>
        <w:t xml:space="preserve">. Tiene que haber una homologación entre los sistemas de </w:t>
      </w:r>
      <w:proofErr w:type="spellStart"/>
      <w:r w:rsidRPr="00353EE1">
        <w:rPr>
          <w:rFonts w:ascii="Bookman Old Style" w:hAnsi="Bookman Old Style" w:cs="Arial"/>
          <w:sz w:val="24"/>
          <w:szCs w:val="24"/>
        </w:rPr>
        <w:t>alertamiento</w:t>
      </w:r>
      <w:proofErr w:type="spellEnd"/>
      <w:r w:rsidRPr="00353EE1">
        <w:rPr>
          <w:rFonts w:ascii="Bookman Old Style" w:hAnsi="Bookman Old Style" w:cs="Arial"/>
          <w:sz w:val="24"/>
          <w:szCs w:val="24"/>
        </w:rPr>
        <w:t xml:space="preserve"> por aplicaciones. </w:t>
      </w:r>
    </w:p>
    <w:p w:rsidR="00353EE1" w:rsidRPr="00353EE1" w:rsidRDefault="00353EE1" w:rsidP="00353EE1">
      <w:pPr>
        <w:jc w:val="both"/>
        <w:rPr>
          <w:rFonts w:ascii="Bookman Old Style" w:hAnsi="Bookman Old Style" w:cs="Arial"/>
          <w:b/>
          <w:sz w:val="24"/>
          <w:szCs w:val="24"/>
        </w:rPr>
      </w:pPr>
      <w:r w:rsidRPr="00353EE1">
        <w:rPr>
          <w:rFonts w:ascii="Bookman Old Style" w:hAnsi="Bookman Old Style" w:cs="Arial"/>
          <w:b/>
          <w:sz w:val="24"/>
          <w:szCs w:val="24"/>
        </w:rPr>
        <w:t xml:space="preserve">Eduardo García Morales: </w:t>
      </w:r>
      <w:r w:rsidRPr="00353EE1">
        <w:rPr>
          <w:rFonts w:ascii="Bookman Old Style" w:hAnsi="Bookman Old Style" w:cs="Arial"/>
          <w:sz w:val="24"/>
          <w:szCs w:val="24"/>
        </w:rPr>
        <w:t>Incrementar el ámbito de la seguridad humana tomando en cuenta los medios de vida.</w:t>
      </w:r>
      <w:r w:rsidRPr="00353EE1">
        <w:rPr>
          <w:rFonts w:ascii="Bookman Old Style" w:hAnsi="Bookman Old Style" w:cs="Arial"/>
          <w:b/>
          <w:sz w:val="24"/>
          <w:szCs w:val="24"/>
        </w:rPr>
        <w:t xml:space="preserve"> </w:t>
      </w:r>
      <w:r w:rsidRPr="00353EE1">
        <w:rPr>
          <w:rFonts w:ascii="Bookman Old Style" w:hAnsi="Bookman Old Style" w:cs="Arial"/>
          <w:sz w:val="24"/>
          <w:szCs w:val="24"/>
        </w:rPr>
        <w:t>Seguridad alimentaria.</w:t>
      </w:r>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Ley Sustentable de Desarrollo Rural. </w:t>
      </w:r>
      <w:r w:rsidRPr="00353EE1">
        <w:rPr>
          <w:rFonts w:ascii="Bookman Old Style" w:hAnsi="Bookman Old Style" w:cs="Arial"/>
          <w:b/>
          <w:sz w:val="24"/>
          <w:szCs w:val="24"/>
        </w:rPr>
        <w:t xml:space="preserve">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Mayra Calderón: </w:t>
      </w:r>
      <w:r w:rsidRPr="00353EE1">
        <w:rPr>
          <w:rFonts w:ascii="Bookman Old Style" w:hAnsi="Bookman Old Style" w:cs="Arial"/>
          <w:sz w:val="24"/>
          <w:szCs w:val="24"/>
        </w:rPr>
        <w:t>Revisar el</w:t>
      </w:r>
      <w:r w:rsidRPr="00353EE1">
        <w:rPr>
          <w:rFonts w:ascii="Bookman Old Style" w:hAnsi="Bookman Old Style" w:cs="Arial"/>
          <w:b/>
          <w:sz w:val="24"/>
          <w:szCs w:val="24"/>
        </w:rPr>
        <w:t xml:space="preserve"> </w:t>
      </w:r>
      <w:r w:rsidRPr="00353EE1">
        <w:rPr>
          <w:rFonts w:ascii="Bookman Old Style" w:hAnsi="Bookman Old Style" w:cs="Arial"/>
          <w:sz w:val="24"/>
          <w:szCs w:val="24"/>
        </w:rPr>
        <w:t xml:space="preserve">esquema de sanciones en omisiones de prevención. </w:t>
      </w:r>
    </w:p>
    <w:p w:rsidR="00353EE1" w:rsidRPr="00353EE1" w:rsidRDefault="00353EE1" w:rsidP="00353EE1">
      <w:pPr>
        <w:jc w:val="both"/>
        <w:rPr>
          <w:rFonts w:ascii="Bookman Old Style" w:hAnsi="Bookman Old Style" w:cs="Arial"/>
          <w:b/>
          <w:sz w:val="24"/>
          <w:szCs w:val="24"/>
        </w:rPr>
      </w:pPr>
      <w:proofErr w:type="spellStart"/>
      <w:r w:rsidRPr="00353EE1">
        <w:rPr>
          <w:rFonts w:ascii="Bookman Old Style" w:hAnsi="Bookman Old Style" w:cs="Arial"/>
          <w:b/>
          <w:sz w:val="24"/>
          <w:szCs w:val="24"/>
        </w:rPr>
        <w:t>Dip</w:t>
      </w:r>
      <w:proofErr w:type="spellEnd"/>
      <w:r w:rsidRPr="00353EE1">
        <w:rPr>
          <w:rFonts w:ascii="Bookman Old Style" w:hAnsi="Bookman Old Style" w:cs="Arial"/>
          <w:b/>
          <w:sz w:val="24"/>
          <w:szCs w:val="24"/>
        </w:rPr>
        <w:t xml:space="preserve">. Juan Enrique Farrera: </w:t>
      </w:r>
      <w:r w:rsidRPr="00353EE1">
        <w:rPr>
          <w:rFonts w:ascii="Bookman Old Style" w:hAnsi="Bookman Old Style" w:cs="Arial"/>
          <w:sz w:val="24"/>
          <w:szCs w:val="24"/>
        </w:rPr>
        <w:t xml:space="preserve">Poner énfasis en las quemas e incendios forestales. Colaboración de aerolíneas para detectar y avisar sobre el inicio de un incendio.  </w:t>
      </w:r>
      <w:r w:rsidRPr="00353EE1">
        <w:rPr>
          <w:rFonts w:ascii="Bookman Old Style" w:hAnsi="Bookman Old Style" w:cs="Arial"/>
          <w:b/>
          <w:sz w:val="24"/>
          <w:szCs w:val="24"/>
        </w:rPr>
        <w:t xml:space="preserve">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Dra. </w:t>
      </w:r>
      <w:proofErr w:type="spellStart"/>
      <w:r w:rsidRPr="00353EE1">
        <w:rPr>
          <w:rFonts w:ascii="Bookman Old Style" w:hAnsi="Bookman Old Style" w:cs="Arial"/>
          <w:b/>
          <w:sz w:val="24"/>
          <w:szCs w:val="24"/>
        </w:rPr>
        <w:t>Naxheli</w:t>
      </w:r>
      <w:proofErr w:type="spellEnd"/>
      <w:r w:rsidRPr="00353EE1">
        <w:rPr>
          <w:rFonts w:ascii="Bookman Old Style" w:hAnsi="Bookman Old Style" w:cs="Arial"/>
          <w:b/>
          <w:sz w:val="24"/>
          <w:szCs w:val="24"/>
        </w:rPr>
        <w:t xml:space="preserve"> Ruiz. </w:t>
      </w:r>
      <w:r w:rsidRPr="00353EE1">
        <w:rPr>
          <w:rFonts w:ascii="Bookman Old Style" w:hAnsi="Bookman Old Style" w:cs="Arial"/>
          <w:sz w:val="24"/>
          <w:szCs w:val="24"/>
        </w:rPr>
        <w:t xml:space="preserve">Revisar la Ley Orgánica de la Administración Pública Federal para la </w:t>
      </w:r>
      <w:proofErr w:type="spellStart"/>
      <w:r w:rsidRPr="00353EE1">
        <w:rPr>
          <w:rFonts w:ascii="Bookman Old Style" w:hAnsi="Bookman Old Style" w:cs="Arial"/>
          <w:sz w:val="24"/>
          <w:szCs w:val="24"/>
        </w:rPr>
        <w:t>transversalización</w:t>
      </w:r>
      <w:proofErr w:type="spellEnd"/>
      <w:r w:rsidRPr="00353EE1">
        <w:rPr>
          <w:rFonts w:ascii="Bookman Old Style" w:hAnsi="Bookman Old Style" w:cs="Arial"/>
          <w:sz w:val="24"/>
          <w:szCs w:val="24"/>
        </w:rPr>
        <w:t xml:space="preserve"> de la materia en las diferentes secretarías y niveles de gobierno. Retomar las fases de la gestión integral de riesgos, desde el conocimiento de riesgos hasta la reconstrucción, generando protocolos.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Dra. </w:t>
      </w:r>
      <w:proofErr w:type="spellStart"/>
      <w:r w:rsidRPr="00353EE1">
        <w:rPr>
          <w:rFonts w:ascii="Bookman Old Style" w:hAnsi="Bookman Old Style" w:cs="Arial"/>
          <w:b/>
          <w:sz w:val="24"/>
          <w:szCs w:val="24"/>
        </w:rPr>
        <w:t>Irazema</w:t>
      </w:r>
      <w:proofErr w:type="spellEnd"/>
      <w:r w:rsidRPr="00353EE1">
        <w:rPr>
          <w:rFonts w:ascii="Bookman Old Style" w:hAnsi="Bookman Old Style" w:cs="Arial"/>
          <w:b/>
          <w:sz w:val="24"/>
          <w:szCs w:val="24"/>
        </w:rPr>
        <w:t xml:space="preserve"> </w:t>
      </w:r>
      <w:proofErr w:type="spellStart"/>
      <w:r w:rsidRPr="00353EE1">
        <w:rPr>
          <w:rFonts w:ascii="Bookman Old Style" w:hAnsi="Bookman Old Style" w:cs="Arial"/>
          <w:b/>
          <w:sz w:val="24"/>
          <w:szCs w:val="24"/>
        </w:rPr>
        <w:t>Alcantara</w:t>
      </w:r>
      <w:proofErr w:type="spellEnd"/>
      <w:r w:rsidRPr="00353EE1">
        <w:rPr>
          <w:rFonts w:ascii="Bookman Old Style" w:hAnsi="Bookman Old Style" w:cs="Arial"/>
          <w:sz w:val="24"/>
          <w:szCs w:val="24"/>
        </w:rPr>
        <w:t>: Hace mención al estudio que realizaron y hace énfasis en la vinculación de la ciencia y la política pública. Evaluar a la CENAPRED y valorar la creación de un nuevo ente descentralizado con autonomía y de investigación (Centro de Investigación Integral del Riesgo de Desastres) (ciencia natural, social y tecnología). Promover los comités científicos.</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lastRenderedPageBreak/>
        <w:t xml:space="preserve">Víctor Hugo Juárez: </w:t>
      </w:r>
      <w:r w:rsidRPr="00353EE1">
        <w:rPr>
          <w:rFonts w:ascii="Bookman Old Style" w:hAnsi="Bookman Old Style" w:cs="Arial"/>
          <w:sz w:val="24"/>
          <w:szCs w:val="24"/>
        </w:rPr>
        <w:t xml:space="preserve">Seguridad alimentaria ya hay mecanismos. Establecer en la ley la supletoriedad del Código Penal. El Politécnico tiene una alerta de incendios. La ley debe determinar el mando ante el tipo de desastre.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Dr. Daniel Rodríguez: </w:t>
      </w:r>
      <w:r w:rsidRPr="00353EE1">
        <w:rPr>
          <w:rFonts w:ascii="Bookman Old Style" w:hAnsi="Bookman Old Style" w:cs="Arial"/>
          <w:sz w:val="24"/>
          <w:szCs w:val="24"/>
        </w:rPr>
        <w:t>Incendios forestales inducidos. Aumentar el presupuesto para la prevención para el desarrollo y bienestar. Presupuesto multianual. Revisar el proyecto del PND para incluir las siete metas mundiales y no solo una.</w:t>
      </w:r>
    </w:p>
    <w:p w:rsidR="00353EE1" w:rsidRPr="00353EE1" w:rsidRDefault="00353EE1" w:rsidP="00353EE1">
      <w:pPr>
        <w:jc w:val="both"/>
        <w:rPr>
          <w:rFonts w:ascii="Bookman Old Style" w:hAnsi="Bookman Old Style" w:cs="Arial"/>
          <w:b/>
          <w:sz w:val="24"/>
          <w:szCs w:val="24"/>
        </w:rPr>
      </w:pPr>
      <w:r w:rsidRPr="00353EE1">
        <w:rPr>
          <w:rFonts w:ascii="Bookman Old Style" w:hAnsi="Bookman Old Style" w:cs="Arial"/>
          <w:b/>
          <w:sz w:val="24"/>
          <w:szCs w:val="24"/>
        </w:rPr>
        <w:t xml:space="preserve">Lucrecia Almaraz. </w:t>
      </w:r>
      <w:r w:rsidRPr="00353EE1">
        <w:rPr>
          <w:rFonts w:ascii="Bookman Old Style" w:hAnsi="Bookman Old Style" w:cs="Arial"/>
          <w:sz w:val="24"/>
          <w:szCs w:val="24"/>
        </w:rPr>
        <w:t xml:space="preserve">Corresponsabilidad de la academia, sector privado. Incluir el tema del cambio climático. Sentar las bases para la coordinación en la reconstrucción. Evaluación en las emergencias de la recolección de datos. Ver la parte fiscal para hacer fondos preventivos y de emergencias. </w:t>
      </w:r>
    </w:p>
    <w:p w:rsidR="00353EE1" w:rsidRPr="00353EE1" w:rsidRDefault="00353EE1" w:rsidP="00353EE1">
      <w:pPr>
        <w:jc w:val="both"/>
        <w:rPr>
          <w:rFonts w:ascii="Bookman Old Style" w:hAnsi="Bookman Old Style" w:cs="Arial"/>
          <w:b/>
          <w:sz w:val="24"/>
          <w:szCs w:val="24"/>
        </w:rPr>
      </w:pPr>
      <w:r w:rsidRPr="00353EE1">
        <w:rPr>
          <w:rFonts w:ascii="Bookman Old Style" w:hAnsi="Bookman Old Style" w:cs="Arial"/>
          <w:b/>
          <w:sz w:val="24"/>
          <w:szCs w:val="24"/>
        </w:rPr>
        <w:t xml:space="preserve">Sandra Camacho. </w:t>
      </w:r>
      <w:r w:rsidRPr="00353EE1">
        <w:rPr>
          <w:rFonts w:ascii="Bookman Old Style" w:hAnsi="Bookman Old Style" w:cs="Arial"/>
          <w:sz w:val="24"/>
          <w:szCs w:val="24"/>
        </w:rPr>
        <w:t xml:space="preserve">Riesgo residual. Establecer indicadores para la planificación. Separa la planeación del presupuesto que se tiene. Se debe usar el Atlas de Riesgo. Revisar la Dirección General de Vinculación. La </w:t>
      </w:r>
      <w:proofErr w:type="spellStart"/>
      <w:r w:rsidRPr="00353EE1">
        <w:rPr>
          <w:rFonts w:ascii="Bookman Old Style" w:hAnsi="Bookman Old Style" w:cs="Arial"/>
          <w:sz w:val="24"/>
          <w:szCs w:val="24"/>
        </w:rPr>
        <w:t>Sedatu</w:t>
      </w:r>
      <w:proofErr w:type="spellEnd"/>
      <w:r w:rsidRPr="00353EE1">
        <w:rPr>
          <w:rFonts w:ascii="Bookman Old Style" w:hAnsi="Bookman Old Style" w:cs="Arial"/>
          <w:sz w:val="24"/>
          <w:szCs w:val="24"/>
        </w:rPr>
        <w:t xml:space="preserve"> no sabe del Marco de Sendai.   </w:t>
      </w:r>
      <w:r w:rsidRPr="00353EE1">
        <w:rPr>
          <w:rFonts w:ascii="Bookman Old Style" w:hAnsi="Bookman Old Style" w:cs="Arial"/>
          <w:b/>
          <w:sz w:val="24"/>
          <w:szCs w:val="24"/>
        </w:rPr>
        <w:t xml:space="preserve"> </w:t>
      </w:r>
    </w:p>
    <w:p w:rsidR="00353EE1" w:rsidRPr="00353EE1" w:rsidRDefault="00353EE1" w:rsidP="00353EE1">
      <w:pPr>
        <w:jc w:val="both"/>
        <w:rPr>
          <w:rFonts w:ascii="Bookman Old Style" w:hAnsi="Bookman Old Style" w:cs="Arial"/>
          <w:sz w:val="24"/>
          <w:szCs w:val="24"/>
        </w:rPr>
      </w:pPr>
      <w:r w:rsidRPr="00353EE1">
        <w:rPr>
          <w:rFonts w:ascii="Bookman Old Style" w:hAnsi="Bookman Old Style" w:cs="Arial"/>
          <w:b/>
          <w:sz w:val="24"/>
          <w:szCs w:val="24"/>
        </w:rPr>
        <w:t xml:space="preserve">Mayra Susana Calderón: </w:t>
      </w:r>
      <w:r w:rsidRPr="00353EE1">
        <w:rPr>
          <w:rFonts w:ascii="Bookman Old Style" w:hAnsi="Bookman Old Style" w:cs="Arial"/>
          <w:sz w:val="24"/>
          <w:szCs w:val="24"/>
        </w:rPr>
        <w:t xml:space="preserve">Sobre las sanciones. Es una ley general (no federal) que solo coordina. El Código Penal no sanciona a las omisiones en gestión de riesgos. Establecer en la ley nuevos grupos vulnerables.  </w:t>
      </w:r>
    </w:p>
    <w:p w:rsidR="001F4285" w:rsidRPr="00353EE1" w:rsidRDefault="001F4285" w:rsidP="00353EE1">
      <w:pPr>
        <w:spacing w:after="0" w:line="240" w:lineRule="auto"/>
        <w:jc w:val="both"/>
        <w:rPr>
          <w:rFonts w:ascii="Bookman Old Style" w:hAnsi="Bookman Old Style"/>
          <w:b/>
          <w:sz w:val="24"/>
          <w:szCs w:val="24"/>
        </w:rPr>
      </w:pPr>
    </w:p>
    <w:sectPr w:rsidR="001F4285" w:rsidRPr="00353EE1" w:rsidSect="001F4285">
      <w:head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9CD" w:rsidRDefault="00A369CD" w:rsidP="00BA21D8">
      <w:pPr>
        <w:spacing w:after="0" w:line="240" w:lineRule="auto"/>
      </w:pPr>
      <w:r>
        <w:separator/>
      </w:r>
    </w:p>
  </w:endnote>
  <w:endnote w:type="continuationSeparator" w:id="0">
    <w:p w:rsidR="00A369CD" w:rsidRDefault="00A369CD" w:rsidP="00BA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9CD" w:rsidRDefault="00A369CD" w:rsidP="00BA21D8">
      <w:pPr>
        <w:spacing w:after="0" w:line="240" w:lineRule="auto"/>
      </w:pPr>
      <w:r>
        <w:separator/>
      </w:r>
    </w:p>
  </w:footnote>
  <w:footnote w:type="continuationSeparator" w:id="0">
    <w:p w:rsidR="00A369CD" w:rsidRDefault="00A369CD" w:rsidP="00BA2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EE" w:rsidRDefault="001F4285" w:rsidP="00F12E31">
    <w:pPr>
      <w:pStyle w:val="Encabezado"/>
    </w:pPr>
    <w:r>
      <w:rPr>
        <w:noProof/>
        <w:lang w:val="es-MX" w:eastAsia="es-MX"/>
      </w:rPr>
      <mc:AlternateContent>
        <mc:Choice Requires="wps">
          <w:drawing>
            <wp:anchor distT="45720" distB="45720" distL="114300" distR="114300" simplePos="0" relativeHeight="251659264" behindDoc="0" locked="0" layoutInCell="1" allowOverlap="1">
              <wp:simplePos x="0" y="0"/>
              <wp:positionH relativeFrom="margin">
                <wp:posOffset>310623</wp:posOffset>
              </wp:positionH>
              <wp:positionV relativeFrom="paragraph">
                <wp:posOffset>-2176</wp:posOffset>
              </wp:positionV>
              <wp:extent cx="4775835" cy="1404620"/>
              <wp:effectExtent l="0" t="0" r="2476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404620"/>
                      </a:xfrm>
                      <a:prstGeom prst="rect">
                        <a:avLst/>
                      </a:prstGeom>
                      <a:solidFill>
                        <a:srgbClr val="FFFFFF"/>
                      </a:solidFill>
                      <a:ln w="9525">
                        <a:solidFill>
                          <a:schemeClr val="bg1"/>
                        </a:solidFill>
                        <a:miter lim="800000"/>
                        <a:headEnd/>
                        <a:tailEnd/>
                      </a:ln>
                    </wps:spPr>
                    <wps:txbx>
                      <w:txbxContent>
                        <w:p w:rsidR="001F4285" w:rsidRPr="001F4285" w:rsidRDefault="001F4285" w:rsidP="001F4285">
                          <w:pPr>
                            <w:pStyle w:val="Encabezado"/>
                            <w:jc w:val="center"/>
                            <w:rPr>
                              <w:b/>
                              <w:sz w:val="24"/>
                              <w:szCs w:val="24"/>
                            </w:rPr>
                          </w:pPr>
                          <w:r w:rsidRPr="001F4285">
                            <w:rPr>
                              <w:b/>
                              <w:sz w:val="24"/>
                              <w:szCs w:val="24"/>
                            </w:rPr>
                            <w:t>Comisión Conjunta de Trabajo en conferencia para la Redacción del Proyecto de la Iniciativa de la Ley General para la Gestión Integral de Riesgos de Desastres y de Protección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45pt;margin-top:-.15pt;width:376.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" strokecolor="white [3212]">
              <v:textbox style="mso-fit-shape-to-text:t">
                <w:txbxContent>
                  <w:p w:rsidR="001F4285" w:rsidRPr="001F4285" w:rsidRDefault="001F4285" w:rsidP="001F4285">
                    <w:pPr>
                      <w:pStyle w:val="Encabezado"/>
                      <w:jc w:val="center"/>
                      <w:rPr>
                        <w:b/>
                        <w:sz w:val="24"/>
                        <w:szCs w:val="24"/>
                      </w:rPr>
                    </w:pPr>
                    <w:r w:rsidRPr="001F4285">
                      <w:rPr>
                        <w:b/>
                        <w:sz w:val="24"/>
                        <w:szCs w:val="24"/>
                      </w:rPr>
                      <w:t>Comisión Conjunta de Trabajo en conferencia para la Redacción del Proyecto de la Iniciativa de la Ley General para la Gestión Integral de Riesgos de Desastres y de Protección Civil</w:t>
                    </w:r>
                  </w:p>
                </w:txbxContent>
              </v:textbox>
              <w10:wrap type="square" anchorx="margin"/>
            </v:shape>
          </w:pict>
        </mc:Fallback>
      </mc:AlternateContent>
    </w:r>
    <w:r>
      <w:rPr>
        <w:noProof/>
        <w:lang w:val="es-MX" w:eastAsia="es-MX"/>
      </w:rPr>
      <w:drawing>
        <wp:anchor distT="0" distB="0" distL="114300" distR="114300" simplePos="0" relativeHeight="251660288" behindDoc="1" locked="0" layoutInCell="1" allowOverlap="1">
          <wp:simplePos x="0" y="0"/>
          <wp:positionH relativeFrom="column">
            <wp:posOffset>-428652</wp:posOffset>
          </wp:positionH>
          <wp:positionV relativeFrom="paragraph">
            <wp:posOffset>-99816</wp:posOffset>
          </wp:positionV>
          <wp:extent cx="617220" cy="86804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AMARA DE DIPUT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 cy="868045"/>
                  </a:xfrm>
                  <a:prstGeom prst="rect">
                    <a:avLst/>
                  </a:prstGeom>
                </pic:spPr>
              </pic:pic>
            </a:graphicData>
          </a:graphic>
        </wp:anchor>
      </w:drawing>
    </w:r>
    <w:r>
      <w:rPr>
        <w:noProof/>
        <w:lang w:val="es-MX" w:eastAsia="es-MX"/>
      </w:rPr>
      <w:drawing>
        <wp:anchor distT="0" distB="0" distL="114300" distR="114300" simplePos="0" relativeHeight="251661312" behindDoc="1" locked="0" layoutInCell="1" allowOverlap="1">
          <wp:simplePos x="0" y="0"/>
          <wp:positionH relativeFrom="column">
            <wp:posOffset>5252329</wp:posOffset>
          </wp:positionH>
          <wp:positionV relativeFrom="paragraph">
            <wp:posOffset>-99816</wp:posOffset>
          </wp:positionV>
          <wp:extent cx="739140" cy="720725"/>
          <wp:effectExtent l="0" t="0" r="3810" b="317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 de la República.png"/>
                  <pic:cNvPicPr/>
                </pic:nvPicPr>
                <pic:blipFill rotWithShape="1">
                  <a:blip r:embed="rId2" cstate="print">
                    <a:extLst>
                      <a:ext uri="{28A0092B-C50C-407E-A947-70E740481C1C}">
                        <a14:useLocalDpi xmlns:a14="http://schemas.microsoft.com/office/drawing/2010/main" val="0"/>
                      </a:ext>
                    </a:extLst>
                  </a:blip>
                  <a:srcRect l="8825" t="8010" r="9029" b="11881"/>
                  <a:stretch/>
                </pic:blipFill>
                <pic:spPr bwMode="auto">
                  <a:xfrm>
                    <a:off x="0" y="0"/>
                    <a:ext cx="739140" cy="720725"/>
                  </a:xfrm>
                  <a:prstGeom prst="rect">
                    <a:avLst/>
                  </a:prstGeom>
                  <a:ln>
                    <a:noFill/>
                  </a:ln>
                  <a:extLst>
                    <a:ext uri="{53640926-AAD7-44D8-BBD7-CCE9431645EC}">
                      <a14:shadowObscured xmlns:a14="http://schemas.microsoft.com/office/drawing/2010/main"/>
                    </a:ext>
                  </a:extLst>
                </pic:spPr>
              </pic:pic>
            </a:graphicData>
          </a:graphic>
        </wp:anchor>
      </w:drawing>
    </w:r>
    <w:r w:rsidRPr="001F4285">
      <w:rPr>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98C"/>
    <w:multiLevelType w:val="hybridMultilevel"/>
    <w:tmpl w:val="ECE83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413C3"/>
    <w:multiLevelType w:val="hybridMultilevel"/>
    <w:tmpl w:val="AC2818BA"/>
    <w:lvl w:ilvl="0" w:tplc="1C7C0EE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E1506"/>
    <w:multiLevelType w:val="hybridMultilevel"/>
    <w:tmpl w:val="97681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E94F8B"/>
    <w:multiLevelType w:val="hybridMultilevel"/>
    <w:tmpl w:val="9E0A6C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843E9"/>
    <w:multiLevelType w:val="hybridMultilevel"/>
    <w:tmpl w:val="E2EC0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2641ED"/>
    <w:multiLevelType w:val="hybridMultilevel"/>
    <w:tmpl w:val="B04E57C4"/>
    <w:lvl w:ilvl="0" w:tplc="6B2CD64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67070A"/>
    <w:multiLevelType w:val="hybridMultilevel"/>
    <w:tmpl w:val="DEF2A784"/>
    <w:lvl w:ilvl="0" w:tplc="025278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504D7A"/>
    <w:multiLevelType w:val="hybridMultilevel"/>
    <w:tmpl w:val="8E524A94"/>
    <w:lvl w:ilvl="0" w:tplc="810E72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E43466"/>
    <w:multiLevelType w:val="hybridMultilevel"/>
    <w:tmpl w:val="1418284C"/>
    <w:lvl w:ilvl="0" w:tplc="51A23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B16E7"/>
    <w:multiLevelType w:val="hybridMultilevel"/>
    <w:tmpl w:val="A0623C54"/>
    <w:lvl w:ilvl="0" w:tplc="C43835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317991"/>
    <w:multiLevelType w:val="hybridMultilevel"/>
    <w:tmpl w:val="25B6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C16821"/>
    <w:multiLevelType w:val="hybridMultilevel"/>
    <w:tmpl w:val="05D65994"/>
    <w:lvl w:ilvl="0" w:tplc="B46C10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670120"/>
    <w:multiLevelType w:val="hybridMultilevel"/>
    <w:tmpl w:val="83EC9362"/>
    <w:lvl w:ilvl="0" w:tplc="906621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FA30F1"/>
    <w:multiLevelType w:val="hybridMultilevel"/>
    <w:tmpl w:val="573AD17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62187F12"/>
    <w:multiLevelType w:val="hybridMultilevel"/>
    <w:tmpl w:val="36AA956E"/>
    <w:lvl w:ilvl="0" w:tplc="31E2F09C">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5A777C"/>
    <w:multiLevelType w:val="hybridMultilevel"/>
    <w:tmpl w:val="373C8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8C277D"/>
    <w:multiLevelType w:val="hybridMultilevel"/>
    <w:tmpl w:val="85662CDE"/>
    <w:lvl w:ilvl="0" w:tplc="B02632D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E73BF2"/>
    <w:multiLevelType w:val="hybridMultilevel"/>
    <w:tmpl w:val="0A4C8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124CC0"/>
    <w:multiLevelType w:val="hybridMultilevel"/>
    <w:tmpl w:val="49384116"/>
    <w:lvl w:ilvl="0" w:tplc="5E9613D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AA1B2F"/>
    <w:multiLevelType w:val="hybridMultilevel"/>
    <w:tmpl w:val="455A06E6"/>
    <w:lvl w:ilvl="0" w:tplc="E738DD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2"/>
  </w:num>
  <w:num w:numId="5">
    <w:abstractNumId w:val="5"/>
  </w:num>
  <w:num w:numId="6">
    <w:abstractNumId w:val="18"/>
  </w:num>
  <w:num w:numId="7">
    <w:abstractNumId w:val="11"/>
  </w:num>
  <w:num w:numId="8">
    <w:abstractNumId w:val="15"/>
  </w:num>
  <w:num w:numId="9">
    <w:abstractNumId w:val="19"/>
  </w:num>
  <w:num w:numId="10">
    <w:abstractNumId w:val="16"/>
  </w:num>
  <w:num w:numId="11">
    <w:abstractNumId w:val="9"/>
  </w:num>
  <w:num w:numId="12">
    <w:abstractNumId w:val="3"/>
  </w:num>
  <w:num w:numId="13">
    <w:abstractNumId w:val="17"/>
  </w:num>
  <w:num w:numId="14">
    <w:abstractNumId w:val="10"/>
  </w:num>
  <w:num w:numId="15">
    <w:abstractNumId w:val="0"/>
  </w:num>
  <w:num w:numId="16">
    <w:abstractNumId w:val="2"/>
  </w:num>
  <w:num w:numId="17">
    <w:abstractNumId w:val="4"/>
  </w:num>
  <w:num w:numId="18">
    <w:abstractNumId w:val="14"/>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D8"/>
    <w:rsid w:val="00001029"/>
    <w:rsid w:val="00006C9D"/>
    <w:rsid w:val="00043BDD"/>
    <w:rsid w:val="00046682"/>
    <w:rsid w:val="00063E06"/>
    <w:rsid w:val="000D2781"/>
    <w:rsid w:val="00100B04"/>
    <w:rsid w:val="0010186E"/>
    <w:rsid w:val="00173CFF"/>
    <w:rsid w:val="001C41F5"/>
    <w:rsid w:val="001D769D"/>
    <w:rsid w:val="001E35F7"/>
    <w:rsid w:val="001F4285"/>
    <w:rsid w:val="002400FE"/>
    <w:rsid w:val="00247C1D"/>
    <w:rsid w:val="00252C54"/>
    <w:rsid w:val="002666CA"/>
    <w:rsid w:val="002815C8"/>
    <w:rsid w:val="00283218"/>
    <w:rsid w:val="002963C8"/>
    <w:rsid w:val="002C645D"/>
    <w:rsid w:val="002C68F6"/>
    <w:rsid w:val="003202E9"/>
    <w:rsid w:val="00353EE1"/>
    <w:rsid w:val="00370FC8"/>
    <w:rsid w:val="003769BE"/>
    <w:rsid w:val="00391BD0"/>
    <w:rsid w:val="003A6227"/>
    <w:rsid w:val="003C1053"/>
    <w:rsid w:val="003F2B21"/>
    <w:rsid w:val="0040228D"/>
    <w:rsid w:val="00406274"/>
    <w:rsid w:val="004109AC"/>
    <w:rsid w:val="00437108"/>
    <w:rsid w:val="004747A7"/>
    <w:rsid w:val="004915BA"/>
    <w:rsid w:val="004C796D"/>
    <w:rsid w:val="004D47E7"/>
    <w:rsid w:val="004E4B5D"/>
    <w:rsid w:val="004F33EE"/>
    <w:rsid w:val="00536F3D"/>
    <w:rsid w:val="00555470"/>
    <w:rsid w:val="0056052F"/>
    <w:rsid w:val="00561F70"/>
    <w:rsid w:val="005B5D83"/>
    <w:rsid w:val="005F4A49"/>
    <w:rsid w:val="00601A97"/>
    <w:rsid w:val="0060590B"/>
    <w:rsid w:val="00614E0B"/>
    <w:rsid w:val="006167A5"/>
    <w:rsid w:val="00680842"/>
    <w:rsid w:val="006B4BE4"/>
    <w:rsid w:val="006B511B"/>
    <w:rsid w:val="006F7AE9"/>
    <w:rsid w:val="0070100E"/>
    <w:rsid w:val="00754030"/>
    <w:rsid w:val="007748EB"/>
    <w:rsid w:val="007949CD"/>
    <w:rsid w:val="007A5C1C"/>
    <w:rsid w:val="007B28B4"/>
    <w:rsid w:val="007B4AF4"/>
    <w:rsid w:val="007C02E8"/>
    <w:rsid w:val="007D3904"/>
    <w:rsid w:val="007F087F"/>
    <w:rsid w:val="008026F9"/>
    <w:rsid w:val="00851A89"/>
    <w:rsid w:val="00865BA1"/>
    <w:rsid w:val="00865F19"/>
    <w:rsid w:val="0088671B"/>
    <w:rsid w:val="008C3F50"/>
    <w:rsid w:val="008D6A6E"/>
    <w:rsid w:val="008F2423"/>
    <w:rsid w:val="0096370D"/>
    <w:rsid w:val="009A7552"/>
    <w:rsid w:val="009C54BF"/>
    <w:rsid w:val="00A31279"/>
    <w:rsid w:val="00A369CD"/>
    <w:rsid w:val="00A36AE7"/>
    <w:rsid w:val="00A54A7F"/>
    <w:rsid w:val="00AA2B42"/>
    <w:rsid w:val="00AA6592"/>
    <w:rsid w:val="00AB5BB6"/>
    <w:rsid w:val="00B07628"/>
    <w:rsid w:val="00B51DD8"/>
    <w:rsid w:val="00B521F0"/>
    <w:rsid w:val="00BA21D8"/>
    <w:rsid w:val="00BA311B"/>
    <w:rsid w:val="00BA58E8"/>
    <w:rsid w:val="00BA5C6F"/>
    <w:rsid w:val="00BF02A9"/>
    <w:rsid w:val="00C326BB"/>
    <w:rsid w:val="00C40D34"/>
    <w:rsid w:val="00C4667F"/>
    <w:rsid w:val="00C46C71"/>
    <w:rsid w:val="00C71C6F"/>
    <w:rsid w:val="00C72DEE"/>
    <w:rsid w:val="00C8004F"/>
    <w:rsid w:val="00CF15E1"/>
    <w:rsid w:val="00CF233A"/>
    <w:rsid w:val="00D01EDE"/>
    <w:rsid w:val="00D2540D"/>
    <w:rsid w:val="00D30140"/>
    <w:rsid w:val="00D460EF"/>
    <w:rsid w:val="00D56342"/>
    <w:rsid w:val="00D844A4"/>
    <w:rsid w:val="00D90655"/>
    <w:rsid w:val="00DB088C"/>
    <w:rsid w:val="00DB7C3D"/>
    <w:rsid w:val="00DC7311"/>
    <w:rsid w:val="00DD15C9"/>
    <w:rsid w:val="00DD1D46"/>
    <w:rsid w:val="00DF6E24"/>
    <w:rsid w:val="00E16E75"/>
    <w:rsid w:val="00E23748"/>
    <w:rsid w:val="00E652EB"/>
    <w:rsid w:val="00E72571"/>
    <w:rsid w:val="00E77E62"/>
    <w:rsid w:val="00E932A1"/>
    <w:rsid w:val="00E93EDF"/>
    <w:rsid w:val="00EB27BD"/>
    <w:rsid w:val="00ED3082"/>
    <w:rsid w:val="00EF0AC0"/>
    <w:rsid w:val="00F00209"/>
    <w:rsid w:val="00F11667"/>
    <w:rsid w:val="00F12E31"/>
    <w:rsid w:val="00F130B0"/>
    <w:rsid w:val="00F26758"/>
    <w:rsid w:val="00F50CE0"/>
    <w:rsid w:val="00F616C6"/>
    <w:rsid w:val="00F839DE"/>
    <w:rsid w:val="00F948D9"/>
    <w:rsid w:val="00FA1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4EF4E-7633-41C7-AF30-410B8FB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E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1D8"/>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BA21D8"/>
  </w:style>
  <w:style w:type="paragraph" w:styleId="Piedepgina">
    <w:name w:val="footer"/>
    <w:basedOn w:val="Normal"/>
    <w:link w:val="PiedepginaCar"/>
    <w:uiPriority w:val="99"/>
    <w:unhideWhenUsed/>
    <w:rsid w:val="00BA21D8"/>
    <w:pPr>
      <w:tabs>
        <w:tab w:val="center" w:pos="4419"/>
        <w:tab w:val="right" w:pos="8838"/>
      </w:tabs>
      <w:spacing w:after="0" w:line="240" w:lineRule="auto"/>
    </w:pPr>
    <w:rPr>
      <w:lang w:val="es-419"/>
    </w:rPr>
  </w:style>
  <w:style w:type="character" w:customStyle="1" w:styleId="PiedepginaCar">
    <w:name w:val="Pie de página Car"/>
    <w:basedOn w:val="Fuentedeprrafopredeter"/>
    <w:link w:val="Piedepgina"/>
    <w:uiPriority w:val="99"/>
    <w:rsid w:val="00BA21D8"/>
  </w:style>
  <w:style w:type="table" w:styleId="Tablaconcuadrcula">
    <w:name w:val="Table Grid"/>
    <w:basedOn w:val="Tablanormal"/>
    <w:uiPriority w:val="39"/>
    <w:rsid w:val="00BA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C6F"/>
    <w:pPr>
      <w:ind w:left="720"/>
      <w:contextualSpacing/>
    </w:pPr>
    <w:rPr>
      <w:lang w:val="es-419"/>
    </w:rPr>
  </w:style>
  <w:style w:type="paragraph" w:styleId="Textodeglobo">
    <w:name w:val="Balloon Text"/>
    <w:basedOn w:val="Normal"/>
    <w:link w:val="TextodegloboCar"/>
    <w:uiPriority w:val="99"/>
    <w:semiHidden/>
    <w:unhideWhenUsed/>
    <w:rsid w:val="00E652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EB"/>
    <w:rPr>
      <w:rFonts w:ascii="Segoe UI" w:hAnsi="Segoe UI" w:cs="Segoe UI"/>
      <w:sz w:val="18"/>
      <w:szCs w:val="18"/>
    </w:rPr>
  </w:style>
  <w:style w:type="table" w:customStyle="1" w:styleId="Tablaconcuadrcula1">
    <w:name w:val="Tabla con cuadrícula1"/>
    <w:basedOn w:val="Tablanormal"/>
    <w:next w:val="Tablaconcuadrcula"/>
    <w:uiPriority w:val="39"/>
    <w:rsid w:val="00D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F6E24"/>
    <w:rPr>
      <w:b/>
      <w:bCs/>
    </w:rPr>
  </w:style>
  <w:style w:type="table" w:customStyle="1" w:styleId="Tablaconcuadrcula2">
    <w:name w:val="Tabla con cuadrícula2"/>
    <w:basedOn w:val="Tablanormal"/>
    <w:next w:val="Tablaconcuadrcula"/>
    <w:uiPriority w:val="39"/>
    <w:rsid w:val="005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F428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F428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BC23-EDEE-41C8-9B7D-9C4FA15B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2019-06-28T01:28:00Z</cp:lastPrinted>
  <dcterms:created xsi:type="dcterms:W3CDTF">2019-07-23T18:51:00Z</dcterms:created>
  <dcterms:modified xsi:type="dcterms:W3CDTF">2019-07-23T18:51:00Z</dcterms:modified>
</cp:coreProperties>
</file>